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2341D" w14:textId="63434E74" w:rsidR="00345583" w:rsidRPr="00650DB1" w:rsidRDefault="00020771" w:rsidP="00753574">
      <w:pPr>
        <w:pStyle w:val="berschrift1"/>
        <w:pBdr>
          <w:top w:val="single" w:sz="4" w:space="1" w:color="auto"/>
          <w:left w:val="single" w:sz="4" w:space="4" w:color="auto"/>
          <w:bottom w:val="single" w:sz="4" w:space="1" w:color="auto"/>
          <w:right w:val="single" w:sz="4" w:space="4" w:color="auto"/>
        </w:pBdr>
        <w:jc w:val="center"/>
        <w:rPr>
          <w:rFonts w:ascii="Open Sans" w:hAnsi="Open Sans" w:cs="Open Sans"/>
          <w:b/>
          <w:bCs/>
          <w:color w:val="70AD47" w:themeColor="accent6"/>
        </w:rPr>
      </w:pPr>
      <w:r w:rsidRPr="00650DB1">
        <w:rPr>
          <w:rFonts w:ascii="Open Sans" w:hAnsi="Open Sans" w:cs="Open Sans"/>
          <w:b/>
          <w:bCs/>
          <w:color w:val="70AD47" w:themeColor="accent6"/>
        </w:rPr>
        <w:t>Checkliste</w:t>
      </w:r>
      <w:r w:rsidR="00C06878" w:rsidRPr="00650DB1">
        <w:rPr>
          <w:rFonts w:ascii="Open Sans" w:hAnsi="Open Sans" w:cs="Open Sans"/>
          <w:b/>
          <w:bCs/>
          <w:color w:val="70AD47" w:themeColor="accent6"/>
        </w:rPr>
        <w:t xml:space="preserve"> </w:t>
      </w:r>
      <w:r w:rsidR="00650DB1" w:rsidRPr="00650DB1">
        <w:rPr>
          <w:rFonts w:ascii="Open Sans" w:hAnsi="Open Sans" w:cs="Open Sans"/>
          <w:b/>
          <w:bCs/>
          <w:color w:val="70AD47" w:themeColor="accent6"/>
        </w:rPr>
        <w:t xml:space="preserve">zur </w:t>
      </w:r>
      <w:r w:rsidR="00C06878" w:rsidRPr="00650DB1">
        <w:rPr>
          <w:rFonts w:ascii="Open Sans" w:hAnsi="Open Sans" w:cs="Open Sans"/>
          <w:b/>
          <w:bCs/>
          <w:color w:val="70AD47" w:themeColor="accent6"/>
        </w:rPr>
        <w:t xml:space="preserve">Umsetzung </w:t>
      </w:r>
      <w:r w:rsidR="00650DB1" w:rsidRPr="00650DB1">
        <w:rPr>
          <w:rFonts w:ascii="Open Sans" w:hAnsi="Open Sans" w:cs="Open Sans"/>
          <w:b/>
          <w:bCs/>
          <w:color w:val="70AD47" w:themeColor="accent6"/>
        </w:rPr>
        <w:t xml:space="preserve">der </w:t>
      </w:r>
      <w:r w:rsidR="00C06878" w:rsidRPr="00650DB1">
        <w:rPr>
          <w:rFonts w:ascii="Open Sans" w:hAnsi="Open Sans" w:cs="Open Sans"/>
          <w:b/>
          <w:bCs/>
          <w:color w:val="70AD47" w:themeColor="accent6"/>
        </w:rPr>
        <w:t>IT-</w:t>
      </w:r>
      <w:r w:rsidR="003C079A" w:rsidRPr="00650DB1">
        <w:rPr>
          <w:rFonts w:ascii="Open Sans" w:hAnsi="Open Sans" w:cs="Open Sans"/>
          <w:b/>
          <w:bCs/>
          <w:color w:val="70AD47" w:themeColor="accent6"/>
        </w:rPr>
        <w:t>Sicherheitsrichtlinie</w:t>
      </w:r>
      <w:r w:rsidR="00746F0E">
        <w:rPr>
          <w:rFonts w:ascii="Open Sans" w:hAnsi="Open Sans" w:cs="Open Sans"/>
          <w:b/>
          <w:bCs/>
          <w:color w:val="70AD47" w:themeColor="accent6"/>
        </w:rPr>
        <w:t>: Zusätzliche Anforderungen für med. Großgeräte</w:t>
      </w:r>
    </w:p>
    <w:p w14:paraId="76561DB5" w14:textId="77777777" w:rsidR="00650DB1" w:rsidRDefault="00650DB1" w:rsidP="00650DB1">
      <w:pPr>
        <w:tabs>
          <w:tab w:val="left" w:pos="469"/>
          <w:tab w:val="left" w:pos="787"/>
          <w:tab w:val="left" w:pos="1219"/>
        </w:tabs>
        <w:ind w:left="113"/>
      </w:pPr>
    </w:p>
    <w:p w14:paraId="27E63758" w14:textId="2929BBD0" w:rsidR="00020771" w:rsidRDefault="00650DB1" w:rsidP="00650DB1">
      <w:pPr>
        <w:tabs>
          <w:tab w:val="left" w:pos="469"/>
          <w:tab w:val="left" w:pos="787"/>
          <w:tab w:val="left" w:pos="1219"/>
        </w:tabs>
        <w:rPr>
          <w:rFonts w:ascii="Open Sans" w:hAnsi="Open Sans" w:cs="Open Sans"/>
        </w:rPr>
      </w:pPr>
      <w:r w:rsidRPr="00650DB1">
        <w:rPr>
          <w:rFonts w:ascii="Open Sans" w:hAnsi="Open Sans" w:cs="Open Sans"/>
          <w:b/>
          <w:bCs/>
          <w:u w:val="single"/>
        </w:rPr>
        <w:t>Symbolerklärung:</w:t>
      </w:r>
      <w:r>
        <w:rPr>
          <w:rFonts w:ascii="Open Sans" w:hAnsi="Open Sans" w:cs="Open Sans"/>
        </w:rPr>
        <w:t xml:space="preserve"> </w:t>
      </w:r>
      <w:r>
        <w:rPr>
          <w:rFonts w:ascii="Open Sans" w:hAnsi="Open Sans" w:cs="Open Sans"/>
        </w:rPr>
        <w:tab/>
      </w:r>
      <w:r w:rsidR="00020771" w:rsidRPr="00650DB1">
        <w:rPr>
          <w:rFonts w:ascii="Open Sans" w:hAnsi="Open Sans" w:cs="Open Sans"/>
          <w:color w:val="70AD47" w:themeColor="accent6"/>
        </w:rPr>
        <w:sym w:font="Wingdings" w:char="F0FB"/>
      </w:r>
      <w:r w:rsidR="006B354B" w:rsidRPr="00650DB1">
        <w:rPr>
          <w:rFonts w:ascii="Open Sans" w:hAnsi="Open Sans" w:cs="Open Sans"/>
        </w:rPr>
        <w:t xml:space="preserve"> </w:t>
      </w:r>
      <w:r w:rsidR="00020771" w:rsidRPr="00650DB1">
        <w:rPr>
          <w:rFonts w:ascii="Open Sans" w:hAnsi="Open Sans" w:cs="Open Sans"/>
        </w:rPr>
        <w:t>=</w:t>
      </w:r>
      <w:r w:rsidR="006B354B" w:rsidRPr="00650DB1">
        <w:rPr>
          <w:rFonts w:ascii="Open Sans" w:hAnsi="Open Sans" w:cs="Open Sans"/>
        </w:rPr>
        <w:t xml:space="preserve"> </w:t>
      </w:r>
      <w:r>
        <w:rPr>
          <w:rFonts w:ascii="Open Sans" w:hAnsi="Open Sans" w:cs="Open Sans"/>
        </w:rPr>
        <w:t xml:space="preserve">nichtzutreffend    </w:t>
      </w:r>
      <w:r w:rsidRPr="00650DB1">
        <w:rPr>
          <w:rFonts w:ascii="Open Sans" w:hAnsi="Open Sans" w:cs="Open Sans"/>
          <w:b/>
          <w:bCs/>
        </w:rPr>
        <w:t>|</w:t>
      </w:r>
      <w:r>
        <w:rPr>
          <w:rFonts w:ascii="Open Sans" w:hAnsi="Open Sans" w:cs="Open Sans"/>
        </w:rPr>
        <w:t xml:space="preserve">  </w:t>
      </w:r>
      <w:proofErr w:type="gramStart"/>
      <w:r>
        <w:rPr>
          <w:rFonts w:ascii="Open Sans" w:hAnsi="Open Sans" w:cs="Open Sans"/>
        </w:rPr>
        <w:t xml:space="preserve">  </w:t>
      </w:r>
      <w:r w:rsidR="00020771" w:rsidRPr="00650DB1">
        <w:rPr>
          <w:rFonts w:ascii="Open Sans" w:hAnsi="Open Sans" w:cs="Open Sans"/>
          <w:color w:val="70AD47" w:themeColor="accent6"/>
        </w:rPr>
        <w:t>?</w:t>
      </w:r>
      <w:proofErr w:type="gramEnd"/>
      <w:r w:rsidR="006B354B" w:rsidRPr="00650DB1">
        <w:rPr>
          <w:rFonts w:ascii="Open Sans" w:hAnsi="Open Sans" w:cs="Open Sans"/>
        </w:rPr>
        <w:t xml:space="preserve"> </w:t>
      </w:r>
      <w:r w:rsidR="00020771" w:rsidRPr="00650DB1">
        <w:rPr>
          <w:rFonts w:ascii="Open Sans" w:hAnsi="Open Sans" w:cs="Open Sans"/>
        </w:rPr>
        <w:t>=</w:t>
      </w:r>
      <w:r w:rsidR="006B354B" w:rsidRPr="00650DB1">
        <w:rPr>
          <w:rFonts w:ascii="Open Sans" w:hAnsi="Open Sans" w:cs="Open Sans"/>
        </w:rPr>
        <w:t xml:space="preserve"> </w:t>
      </w:r>
      <w:r w:rsidRPr="00650DB1">
        <w:rPr>
          <w:rFonts w:ascii="Open Sans" w:hAnsi="Open Sans" w:cs="Open Sans"/>
        </w:rPr>
        <w:t>unbekannt</w:t>
      </w:r>
      <w:r>
        <w:rPr>
          <w:rFonts w:ascii="Open Sans" w:hAnsi="Open Sans" w:cs="Open Sans"/>
        </w:rPr>
        <w:t xml:space="preserve">   </w:t>
      </w:r>
      <w:r w:rsidRPr="00650DB1">
        <w:rPr>
          <w:rFonts w:ascii="Open Sans" w:hAnsi="Open Sans" w:cs="Open Sans"/>
          <w:b/>
          <w:bCs/>
        </w:rPr>
        <w:t>|</w:t>
      </w:r>
      <w:r>
        <w:rPr>
          <w:rFonts w:ascii="Open Sans" w:hAnsi="Open Sans" w:cs="Open Sans"/>
        </w:rPr>
        <w:t xml:space="preserve">  </w:t>
      </w:r>
      <w:proofErr w:type="gramStart"/>
      <w:r>
        <w:rPr>
          <w:rFonts w:ascii="Open Sans" w:hAnsi="Open Sans" w:cs="Open Sans"/>
        </w:rPr>
        <w:t xml:space="preserve">  </w:t>
      </w:r>
      <w:r w:rsidR="003C079A" w:rsidRPr="00650DB1">
        <w:rPr>
          <w:rFonts w:ascii="Open Sans" w:hAnsi="Open Sans" w:cs="Open Sans"/>
          <w:color w:val="70AD47" w:themeColor="accent6"/>
        </w:rPr>
        <w:t>!</w:t>
      </w:r>
      <w:proofErr w:type="gramEnd"/>
      <w:r w:rsidR="003C079A" w:rsidRPr="00650DB1">
        <w:rPr>
          <w:rFonts w:ascii="Open Sans" w:hAnsi="Open Sans" w:cs="Open Sans"/>
        </w:rPr>
        <w:t xml:space="preserve"> = </w:t>
      </w:r>
      <w:r w:rsidR="002928C4" w:rsidRPr="00650DB1">
        <w:rPr>
          <w:rFonts w:ascii="Open Sans" w:hAnsi="Open Sans" w:cs="Open Sans"/>
        </w:rPr>
        <w:t>in Planung</w:t>
      </w:r>
      <w:r>
        <w:rPr>
          <w:rFonts w:ascii="Open Sans" w:hAnsi="Open Sans" w:cs="Open Sans"/>
        </w:rPr>
        <w:t xml:space="preserve">    </w:t>
      </w:r>
      <w:r w:rsidRPr="00650DB1">
        <w:rPr>
          <w:rFonts w:ascii="Open Sans" w:hAnsi="Open Sans" w:cs="Open Sans"/>
          <w:b/>
          <w:bCs/>
        </w:rPr>
        <w:t>|</w:t>
      </w:r>
      <w:r>
        <w:rPr>
          <w:rFonts w:ascii="Open Sans" w:hAnsi="Open Sans" w:cs="Open Sans"/>
        </w:rPr>
        <w:t xml:space="preserve">    </w:t>
      </w:r>
      <w:r w:rsidRPr="00650DB1">
        <w:rPr>
          <w:rFonts w:ascii="Open Sans" w:hAnsi="Open Sans" w:cs="Open Sans"/>
          <w:color w:val="70AD47" w:themeColor="accent6"/>
        </w:rPr>
        <w:sym w:font="Wingdings" w:char="F0E0"/>
      </w:r>
      <w:r w:rsidR="006B354B" w:rsidRPr="00650DB1">
        <w:rPr>
          <w:rFonts w:ascii="Open Sans" w:hAnsi="Open Sans" w:cs="Open Sans"/>
        </w:rPr>
        <w:t xml:space="preserve"> </w:t>
      </w:r>
      <w:r w:rsidR="00020771" w:rsidRPr="00650DB1">
        <w:rPr>
          <w:rFonts w:ascii="Open Sans" w:hAnsi="Open Sans" w:cs="Open Sans"/>
        </w:rPr>
        <w:t>=</w:t>
      </w:r>
      <w:r w:rsidR="006B354B" w:rsidRPr="00650DB1">
        <w:rPr>
          <w:rFonts w:ascii="Open Sans" w:hAnsi="Open Sans" w:cs="Open Sans"/>
        </w:rPr>
        <w:t xml:space="preserve"> </w:t>
      </w:r>
      <w:r w:rsidR="003C079A" w:rsidRPr="00650DB1">
        <w:rPr>
          <w:rFonts w:ascii="Open Sans" w:hAnsi="Open Sans" w:cs="Open Sans"/>
        </w:rPr>
        <w:t xml:space="preserve">Umsetzung </w:t>
      </w:r>
      <w:r>
        <w:rPr>
          <w:rFonts w:ascii="Open Sans" w:hAnsi="Open Sans" w:cs="Open Sans"/>
        </w:rPr>
        <w:t xml:space="preserve">hat </w:t>
      </w:r>
      <w:r w:rsidR="003C079A" w:rsidRPr="00650DB1">
        <w:rPr>
          <w:rFonts w:ascii="Open Sans" w:hAnsi="Open Sans" w:cs="Open Sans"/>
        </w:rPr>
        <w:t>begonnen</w:t>
      </w:r>
      <w:r>
        <w:rPr>
          <w:rFonts w:ascii="Open Sans" w:hAnsi="Open Sans" w:cs="Open Sans"/>
        </w:rPr>
        <w:t xml:space="preserve">   </w:t>
      </w:r>
      <w:r w:rsidRPr="00650DB1">
        <w:rPr>
          <w:rFonts w:ascii="Open Sans" w:hAnsi="Open Sans" w:cs="Open Sans"/>
          <w:b/>
          <w:bCs/>
        </w:rPr>
        <w:t>|</w:t>
      </w:r>
      <w:r>
        <w:rPr>
          <w:rFonts w:ascii="Open Sans" w:hAnsi="Open Sans" w:cs="Open Sans"/>
        </w:rPr>
        <w:t xml:space="preserve">    </w:t>
      </w:r>
      <w:r w:rsidR="00020771" w:rsidRPr="00650DB1">
        <w:rPr>
          <w:rFonts w:ascii="Open Sans" w:hAnsi="Open Sans" w:cs="Open Sans"/>
          <w:b/>
          <w:bCs/>
          <w:color w:val="70AD47" w:themeColor="accent6"/>
        </w:rPr>
        <w:sym w:font="Wingdings" w:char="F0FC"/>
      </w:r>
      <w:r w:rsidR="006B354B" w:rsidRPr="00650DB1">
        <w:rPr>
          <w:rFonts w:ascii="Open Sans" w:hAnsi="Open Sans" w:cs="Open Sans"/>
        </w:rPr>
        <w:t xml:space="preserve"> </w:t>
      </w:r>
      <w:r w:rsidR="00020771" w:rsidRPr="00650DB1">
        <w:rPr>
          <w:rFonts w:ascii="Open Sans" w:hAnsi="Open Sans" w:cs="Open Sans"/>
        </w:rPr>
        <w:t>=</w:t>
      </w:r>
      <w:r w:rsidR="006B354B" w:rsidRPr="00650DB1">
        <w:rPr>
          <w:rFonts w:ascii="Open Sans" w:hAnsi="Open Sans" w:cs="Open Sans"/>
        </w:rPr>
        <w:t xml:space="preserve"> </w:t>
      </w:r>
      <w:r>
        <w:rPr>
          <w:rFonts w:ascii="Open Sans" w:hAnsi="Open Sans" w:cs="Open Sans"/>
        </w:rPr>
        <w:t>Umsetzung ist abgeschlossen</w:t>
      </w:r>
    </w:p>
    <w:p w14:paraId="4116E411" w14:textId="27FF9BEE" w:rsidR="00650DB1" w:rsidRDefault="00650DB1" w:rsidP="00650DB1">
      <w:pPr>
        <w:tabs>
          <w:tab w:val="left" w:pos="469"/>
          <w:tab w:val="left" w:pos="787"/>
          <w:tab w:val="left" w:pos="1219"/>
        </w:tabs>
        <w:rPr>
          <w:rFonts w:ascii="Open Sans" w:hAnsi="Open Sans" w:cs="Open Sans"/>
          <w:b/>
          <w:bCs/>
        </w:rPr>
      </w:pPr>
      <w:r w:rsidRPr="00650DB1">
        <w:rPr>
          <w:rFonts w:ascii="Open Sans" w:hAnsi="Open Sans" w:cs="Open Sans"/>
          <w:b/>
          <w:bCs/>
        </w:rPr>
        <w:t xml:space="preserve">Anlage </w:t>
      </w:r>
      <w:r w:rsidR="00746F0E">
        <w:rPr>
          <w:rFonts w:ascii="Open Sans" w:hAnsi="Open Sans" w:cs="Open Sans"/>
          <w:b/>
          <w:bCs/>
        </w:rPr>
        <w:t>4</w:t>
      </w:r>
      <w:r w:rsidRPr="00650DB1">
        <w:rPr>
          <w:rFonts w:ascii="Open Sans" w:hAnsi="Open Sans" w:cs="Open Sans"/>
          <w:b/>
          <w:bCs/>
        </w:rPr>
        <w:t>:</w:t>
      </w:r>
    </w:p>
    <w:tbl>
      <w:tblPr>
        <w:tblStyle w:val="Tabellenraster"/>
        <w:tblW w:w="0" w:type="auto"/>
        <w:tblLayout w:type="fixed"/>
        <w:tblLook w:val="04A0" w:firstRow="1" w:lastRow="0" w:firstColumn="1" w:lastColumn="0" w:noHBand="0" w:noVBand="1"/>
      </w:tblPr>
      <w:tblGrid>
        <w:gridCol w:w="846"/>
        <w:gridCol w:w="3260"/>
        <w:gridCol w:w="7938"/>
        <w:gridCol w:w="1418"/>
        <w:gridCol w:w="425"/>
        <w:gridCol w:w="425"/>
        <w:gridCol w:w="425"/>
        <w:gridCol w:w="426"/>
        <w:gridCol w:w="425"/>
      </w:tblGrid>
      <w:tr w:rsidR="00746F0E" w:rsidRPr="00746F0E" w14:paraId="1D8B7ECD" w14:textId="77777777" w:rsidTr="00B82802">
        <w:trPr>
          <w:tblHeader/>
        </w:trPr>
        <w:tc>
          <w:tcPr>
            <w:tcW w:w="846" w:type="dxa"/>
          </w:tcPr>
          <w:p w14:paraId="30FD2BB0" w14:textId="77777777" w:rsidR="00746F0E" w:rsidRPr="00746F0E" w:rsidRDefault="00746F0E" w:rsidP="00B82802">
            <w:pPr>
              <w:jc w:val="center"/>
              <w:rPr>
                <w:rFonts w:ascii="Open Sans" w:hAnsi="Open Sans" w:cs="Open Sans"/>
                <w:sz w:val="18"/>
                <w:szCs w:val="18"/>
              </w:rPr>
            </w:pPr>
            <w:r w:rsidRPr="00746F0E">
              <w:rPr>
                <w:rFonts w:ascii="Open Sans" w:hAnsi="Open Sans" w:cs="Open Sans"/>
                <w:sz w:val="18"/>
                <w:szCs w:val="18"/>
              </w:rPr>
              <w:t>Nr.</w:t>
            </w:r>
          </w:p>
        </w:tc>
        <w:tc>
          <w:tcPr>
            <w:tcW w:w="3260" w:type="dxa"/>
          </w:tcPr>
          <w:p w14:paraId="7B81B94E" w14:textId="77777777" w:rsidR="00746F0E" w:rsidRPr="00746F0E" w:rsidRDefault="00746F0E" w:rsidP="00B82802">
            <w:pPr>
              <w:rPr>
                <w:rFonts w:ascii="Open Sans" w:hAnsi="Open Sans" w:cs="Open Sans"/>
                <w:sz w:val="18"/>
                <w:szCs w:val="18"/>
              </w:rPr>
            </w:pPr>
            <w:r w:rsidRPr="00746F0E">
              <w:rPr>
                <w:rFonts w:ascii="Open Sans" w:hAnsi="Open Sans" w:cs="Open Sans"/>
                <w:sz w:val="18"/>
                <w:szCs w:val="18"/>
              </w:rPr>
              <w:t>Zielobjekt</w:t>
            </w:r>
          </w:p>
        </w:tc>
        <w:tc>
          <w:tcPr>
            <w:tcW w:w="7938" w:type="dxa"/>
          </w:tcPr>
          <w:p w14:paraId="3AAED248" w14:textId="77777777" w:rsidR="00746F0E" w:rsidRPr="00746F0E" w:rsidRDefault="00746F0E" w:rsidP="00B82802">
            <w:pPr>
              <w:rPr>
                <w:rFonts w:ascii="Open Sans" w:hAnsi="Open Sans" w:cs="Open Sans"/>
                <w:sz w:val="18"/>
                <w:szCs w:val="18"/>
              </w:rPr>
            </w:pPr>
            <w:r w:rsidRPr="00746F0E">
              <w:rPr>
                <w:rFonts w:ascii="Open Sans" w:hAnsi="Open Sans" w:cs="Open Sans"/>
                <w:sz w:val="18"/>
                <w:szCs w:val="18"/>
              </w:rPr>
              <w:t>Anforderung</w:t>
            </w:r>
          </w:p>
        </w:tc>
        <w:tc>
          <w:tcPr>
            <w:tcW w:w="1418" w:type="dxa"/>
          </w:tcPr>
          <w:p w14:paraId="5FC5F231" w14:textId="77777777" w:rsidR="00746F0E" w:rsidRPr="00746F0E" w:rsidRDefault="00746F0E" w:rsidP="00B82802">
            <w:pPr>
              <w:rPr>
                <w:rFonts w:ascii="Open Sans" w:hAnsi="Open Sans" w:cs="Open Sans"/>
                <w:sz w:val="18"/>
                <w:szCs w:val="18"/>
              </w:rPr>
            </w:pPr>
            <w:r w:rsidRPr="00746F0E">
              <w:rPr>
                <w:rFonts w:ascii="Open Sans" w:hAnsi="Open Sans" w:cs="Open Sans"/>
                <w:sz w:val="18"/>
                <w:szCs w:val="18"/>
              </w:rPr>
              <w:t>gilt ab</w:t>
            </w:r>
          </w:p>
        </w:tc>
        <w:tc>
          <w:tcPr>
            <w:tcW w:w="425" w:type="dxa"/>
            <w:vAlign w:val="center"/>
          </w:tcPr>
          <w:p w14:paraId="47E91A11" w14:textId="77777777" w:rsidR="00746F0E" w:rsidRPr="00746F0E" w:rsidRDefault="00746F0E" w:rsidP="00B82802">
            <w:pPr>
              <w:jc w:val="center"/>
              <w:rPr>
                <w:rFonts w:ascii="Open Sans" w:hAnsi="Open Sans" w:cs="Open Sans"/>
                <w:sz w:val="18"/>
                <w:szCs w:val="18"/>
              </w:rPr>
            </w:pPr>
            <w:r w:rsidRPr="00746F0E">
              <w:rPr>
                <w:rFonts w:ascii="Open Sans" w:hAnsi="Open Sans" w:cs="Open Sans"/>
                <w:sz w:val="18"/>
                <w:szCs w:val="18"/>
              </w:rPr>
              <w:sym w:font="Wingdings" w:char="F0FB"/>
            </w:r>
          </w:p>
        </w:tc>
        <w:tc>
          <w:tcPr>
            <w:tcW w:w="425" w:type="dxa"/>
            <w:vAlign w:val="center"/>
          </w:tcPr>
          <w:p w14:paraId="5499D6F7" w14:textId="77777777" w:rsidR="00746F0E" w:rsidRPr="00746F0E" w:rsidRDefault="00746F0E" w:rsidP="00B82802">
            <w:pPr>
              <w:jc w:val="center"/>
              <w:rPr>
                <w:rFonts w:ascii="Open Sans" w:hAnsi="Open Sans" w:cs="Open Sans"/>
                <w:sz w:val="18"/>
                <w:szCs w:val="18"/>
              </w:rPr>
            </w:pPr>
            <w:r w:rsidRPr="00746F0E">
              <w:rPr>
                <w:rFonts w:ascii="Open Sans" w:hAnsi="Open Sans" w:cs="Open Sans"/>
                <w:sz w:val="18"/>
                <w:szCs w:val="18"/>
              </w:rPr>
              <w:t>?</w:t>
            </w:r>
          </w:p>
        </w:tc>
        <w:tc>
          <w:tcPr>
            <w:tcW w:w="425" w:type="dxa"/>
            <w:vAlign w:val="center"/>
          </w:tcPr>
          <w:p w14:paraId="2CD8A4F0" w14:textId="77777777" w:rsidR="00746F0E" w:rsidRPr="00746F0E" w:rsidRDefault="00746F0E" w:rsidP="00B82802">
            <w:pPr>
              <w:jc w:val="center"/>
              <w:rPr>
                <w:rFonts w:ascii="Open Sans" w:hAnsi="Open Sans" w:cs="Open Sans"/>
                <w:sz w:val="18"/>
                <w:szCs w:val="18"/>
              </w:rPr>
            </w:pPr>
            <w:r w:rsidRPr="00746F0E">
              <w:rPr>
                <w:rFonts w:ascii="Open Sans" w:hAnsi="Open Sans" w:cs="Open Sans"/>
                <w:sz w:val="18"/>
                <w:szCs w:val="18"/>
              </w:rPr>
              <w:t>!</w:t>
            </w:r>
          </w:p>
        </w:tc>
        <w:tc>
          <w:tcPr>
            <w:tcW w:w="426" w:type="dxa"/>
            <w:vAlign w:val="center"/>
          </w:tcPr>
          <w:p w14:paraId="0E3C518C" w14:textId="77777777" w:rsidR="00746F0E" w:rsidRPr="00746F0E" w:rsidRDefault="00746F0E" w:rsidP="00B82802">
            <w:pPr>
              <w:jc w:val="center"/>
              <w:rPr>
                <w:rFonts w:ascii="Open Sans" w:hAnsi="Open Sans" w:cs="Open Sans"/>
                <w:sz w:val="18"/>
                <w:szCs w:val="18"/>
              </w:rPr>
            </w:pPr>
            <w:r w:rsidRPr="00746F0E">
              <w:rPr>
                <w:rFonts w:ascii="Open Sans" w:hAnsi="Open Sans" w:cs="Open Sans"/>
                <w:sz w:val="18"/>
                <w:szCs w:val="18"/>
              </w:rPr>
              <w:sym w:font="Wingdings" w:char="F0E0"/>
            </w:r>
          </w:p>
        </w:tc>
        <w:tc>
          <w:tcPr>
            <w:tcW w:w="425" w:type="dxa"/>
            <w:vAlign w:val="center"/>
          </w:tcPr>
          <w:p w14:paraId="3B1130D7" w14:textId="77777777" w:rsidR="00746F0E" w:rsidRPr="00746F0E" w:rsidRDefault="00746F0E" w:rsidP="00B82802">
            <w:pPr>
              <w:jc w:val="center"/>
              <w:rPr>
                <w:rFonts w:ascii="Open Sans" w:hAnsi="Open Sans" w:cs="Open Sans"/>
                <w:sz w:val="18"/>
                <w:szCs w:val="18"/>
              </w:rPr>
            </w:pPr>
            <w:r w:rsidRPr="00746F0E">
              <w:rPr>
                <w:rFonts w:ascii="Open Sans" w:hAnsi="Open Sans" w:cs="Open Sans"/>
                <w:sz w:val="18"/>
                <w:szCs w:val="18"/>
              </w:rPr>
              <w:sym w:font="Wingdings" w:char="F0FC"/>
            </w:r>
          </w:p>
        </w:tc>
      </w:tr>
      <w:tr w:rsidR="00746F0E" w:rsidRPr="00746F0E" w14:paraId="71149A13" w14:textId="77777777" w:rsidTr="00B82802">
        <w:tc>
          <w:tcPr>
            <w:tcW w:w="846" w:type="dxa"/>
            <w:tcMar>
              <w:left w:w="0" w:type="dxa"/>
              <w:right w:w="0" w:type="dxa"/>
            </w:tcMar>
          </w:tcPr>
          <w:p w14:paraId="0B8C3805" w14:textId="77777777" w:rsidR="00746F0E" w:rsidRPr="00746F0E" w:rsidRDefault="00746F0E" w:rsidP="00B82802">
            <w:pPr>
              <w:pStyle w:val="Listenabsatz"/>
              <w:numPr>
                <w:ilvl w:val="0"/>
                <w:numId w:val="1"/>
              </w:numPr>
              <w:rPr>
                <w:rFonts w:ascii="Open Sans" w:hAnsi="Open Sans" w:cs="Open Sans"/>
                <w:sz w:val="18"/>
                <w:szCs w:val="18"/>
              </w:rPr>
            </w:pPr>
          </w:p>
        </w:tc>
        <w:tc>
          <w:tcPr>
            <w:tcW w:w="3260" w:type="dxa"/>
          </w:tcPr>
          <w:p w14:paraId="1D4DDE7A" w14:textId="77777777" w:rsidR="00746F0E" w:rsidRPr="00746F0E" w:rsidRDefault="00746F0E" w:rsidP="00B82802">
            <w:pPr>
              <w:pStyle w:val="TableParagraph"/>
              <w:ind w:left="110" w:right="679"/>
              <w:rPr>
                <w:rFonts w:ascii="Open Sans" w:hAnsi="Open Sans" w:cs="Open Sans"/>
                <w:sz w:val="18"/>
                <w:szCs w:val="18"/>
              </w:rPr>
            </w:pPr>
            <w:r w:rsidRPr="00746F0E">
              <w:rPr>
                <w:rFonts w:ascii="Open Sans" w:hAnsi="Open Sans" w:cs="Open Sans"/>
                <w:sz w:val="18"/>
                <w:szCs w:val="18"/>
              </w:rPr>
              <w:t>Medizinische Großgeräte</w:t>
            </w:r>
          </w:p>
        </w:tc>
        <w:tc>
          <w:tcPr>
            <w:tcW w:w="7938" w:type="dxa"/>
          </w:tcPr>
          <w:p w14:paraId="4F5CACCF" w14:textId="77777777" w:rsidR="00746F0E" w:rsidRPr="00746F0E" w:rsidRDefault="00746F0E" w:rsidP="00B82802">
            <w:pPr>
              <w:pStyle w:val="TableParagraph"/>
              <w:ind w:right="704"/>
              <w:rPr>
                <w:rFonts w:ascii="Open Sans" w:hAnsi="Open Sans" w:cs="Open Sans"/>
                <w:sz w:val="18"/>
                <w:szCs w:val="18"/>
              </w:rPr>
            </w:pPr>
            <w:r w:rsidRPr="00746F0E">
              <w:rPr>
                <w:rFonts w:ascii="Open Sans" w:hAnsi="Open Sans" w:cs="Open Sans"/>
                <w:sz w:val="18"/>
                <w:szCs w:val="18"/>
              </w:rPr>
              <w:t>Einschränkung des Zugriffs für Konfigurations- und Wartungsschnittstellen:</w:t>
            </w:r>
          </w:p>
          <w:p w14:paraId="315E6DC6" w14:textId="77777777" w:rsidR="00746F0E" w:rsidRPr="00746F0E" w:rsidRDefault="00746F0E" w:rsidP="00B82802">
            <w:pPr>
              <w:pStyle w:val="TableParagraph"/>
              <w:ind w:right="704"/>
              <w:rPr>
                <w:rFonts w:ascii="Open Sans" w:hAnsi="Open Sans" w:cs="Open Sans"/>
                <w:sz w:val="18"/>
                <w:szCs w:val="18"/>
              </w:rPr>
            </w:pPr>
            <w:r w:rsidRPr="00746F0E">
              <w:rPr>
                <w:rFonts w:ascii="Open Sans" w:hAnsi="Open Sans" w:cs="Open Sans"/>
                <w:sz w:val="18"/>
                <w:szCs w:val="18"/>
              </w:rPr>
              <w:t>Es wird sichergestellt, dass nur zuvor festgelegte berechtigte Mitarbeiter auf Konfigurations- und Wartungsschnittstellen von medizinischen Großgeräten zugreifen können. Standardmäßig eingerichtete bzw. herstellerseitig gesetzte Passwörter wurden gewechselt. Der Wechsel ist dokumentiert und das Passwort sicher hinterlegt. Standardmäßig eingerichtete bzw. herstellerseitig gesetzte Benutzerkonten wurden gewechselt.</w:t>
            </w:r>
          </w:p>
        </w:tc>
        <w:tc>
          <w:tcPr>
            <w:tcW w:w="1418" w:type="dxa"/>
          </w:tcPr>
          <w:p w14:paraId="0EA5FFFA" w14:textId="77777777" w:rsidR="00746F0E" w:rsidRPr="00746F0E" w:rsidRDefault="00746F0E" w:rsidP="00B82802">
            <w:pPr>
              <w:pStyle w:val="TableParagraph"/>
              <w:spacing w:line="268" w:lineRule="exact"/>
              <w:rPr>
                <w:rFonts w:ascii="Open Sans" w:hAnsi="Open Sans" w:cs="Open Sans"/>
                <w:sz w:val="18"/>
                <w:szCs w:val="18"/>
              </w:rPr>
            </w:pPr>
            <w:r w:rsidRPr="00746F0E">
              <w:rPr>
                <w:rFonts w:ascii="Open Sans" w:hAnsi="Open Sans" w:cs="Open Sans"/>
                <w:sz w:val="18"/>
                <w:szCs w:val="18"/>
              </w:rPr>
              <w:t>01.07.2021</w:t>
            </w:r>
          </w:p>
        </w:tc>
        <w:tc>
          <w:tcPr>
            <w:tcW w:w="425" w:type="dxa"/>
            <w:vAlign w:val="center"/>
          </w:tcPr>
          <w:p w14:paraId="1159D265" w14:textId="77777777" w:rsidR="00746F0E" w:rsidRPr="00746F0E" w:rsidRDefault="00746F0E" w:rsidP="00B82802">
            <w:pPr>
              <w:jc w:val="center"/>
              <w:rPr>
                <w:rFonts w:ascii="Open Sans" w:hAnsi="Open Sans" w:cs="Open Sans"/>
                <w:sz w:val="18"/>
                <w:szCs w:val="18"/>
              </w:rPr>
            </w:pPr>
          </w:p>
        </w:tc>
        <w:tc>
          <w:tcPr>
            <w:tcW w:w="425" w:type="dxa"/>
            <w:vAlign w:val="center"/>
          </w:tcPr>
          <w:p w14:paraId="3DE9257D" w14:textId="77777777" w:rsidR="00746F0E" w:rsidRPr="00746F0E" w:rsidRDefault="00746F0E" w:rsidP="00B82802">
            <w:pPr>
              <w:jc w:val="center"/>
              <w:rPr>
                <w:rFonts w:ascii="Open Sans" w:hAnsi="Open Sans" w:cs="Open Sans"/>
                <w:sz w:val="18"/>
                <w:szCs w:val="18"/>
              </w:rPr>
            </w:pPr>
          </w:p>
        </w:tc>
        <w:tc>
          <w:tcPr>
            <w:tcW w:w="425" w:type="dxa"/>
            <w:vAlign w:val="center"/>
          </w:tcPr>
          <w:p w14:paraId="344FFA1D" w14:textId="77777777" w:rsidR="00746F0E" w:rsidRPr="00746F0E" w:rsidRDefault="00746F0E" w:rsidP="00B82802">
            <w:pPr>
              <w:jc w:val="center"/>
              <w:rPr>
                <w:rFonts w:ascii="Open Sans" w:hAnsi="Open Sans" w:cs="Open Sans"/>
                <w:sz w:val="18"/>
                <w:szCs w:val="18"/>
              </w:rPr>
            </w:pPr>
          </w:p>
        </w:tc>
        <w:tc>
          <w:tcPr>
            <w:tcW w:w="426" w:type="dxa"/>
            <w:vAlign w:val="center"/>
          </w:tcPr>
          <w:p w14:paraId="7B3AEBDF" w14:textId="77777777" w:rsidR="00746F0E" w:rsidRPr="00746F0E" w:rsidRDefault="00746F0E" w:rsidP="00B82802">
            <w:pPr>
              <w:jc w:val="center"/>
              <w:rPr>
                <w:rFonts w:ascii="Open Sans" w:hAnsi="Open Sans" w:cs="Open Sans"/>
                <w:sz w:val="18"/>
                <w:szCs w:val="18"/>
              </w:rPr>
            </w:pPr>
          </w:p>
        </w:tc>
        <w:tc>
          <w:tcPr>
            <w:tcW w:w="425" w:type="dxa"/>
            <w:vAlign w:val="center"/>
          </w:tcPr>
          <w:p w14:paraId="1E77B2D7" w14:textId="77777777" w:rsidR="00746F0E" w:rsidRPr="00746F0E" w:rsidRDefault="00746F0E" w:rsidP="00B82802">
            <w:pPr>
              <w:jc w:val="center"/>
              <w:rPr>
                <w:rFonts w:ascii="Open Sans" w:hAnsi="Open Sans" w:cs="Open Sans"/>
                <w:sz w:val="18"/>
                <w:szCs w:val="18"/>
              </w:rPr>
            </w:pPr>
          </w:p>
        </w:tc>
      </w:tr>
      <w:tr w:rsidR="00746F0E" w:rsidRPr="00746F0E" w14:paraId="7C4BBBE9" w14:textId="77777777" w:rsidTr="00B82802">
        <w:tc>
          <w:tcPr>
            <w:tcW w:w="846" w:type="dxa"/>
            <w:tcMar>
              <w:left w:w="0" w:type="dxa"/>
              <w:right w:w="0" w:type="dxa"/>
            </w:tcMar>
          </w:tcPr>
          <w:p w14:paraId="3E67BF0B" w14:textId="77777777" w:rsidR="00746F0E" w:rsidRPr="00746F0E" w:rsidRDefault="00746F0E" w:rsidP="00B82802">
            <w:pPr>
              <w:pStyle w:val="Listenabsatz"/>
              <w:numPr>
                <w:ilvl w:val="0"/>
                <w:numId w:val="1"/>
              </w:numPr>
              <w:rPr>
                <w:rFonts w:ascii="Open Sans" w:hAnsi="Open Sans" w:cs="Open Sans"/>
                <w:sz w:val="18"/>
                <w:szCs w:val="18"/>
              </w:rPr>
            </w:pPr>
          </w:p>
        </w:tc>
        <w:tc>
          <w:tcPr>
            <w:tcW w:w="3260" w:type="dxa"/>
          </w:tcPr>
          <w:p w14:paraId="2D18D174" w14:textId="77777777" w:rsidR="00746F0E" w:rsidRPr="00746F0E" w:rsidRDefault="00746F0E" w:rsidP="00B82802">
            <w:pPr>
              <w:pStyle w:val="TableParagraph"/>
              <w:ind w:left="110" w:right="679"/>
              <w:rPr>
                <w:rFonts w:ascii="Open Sans" w:hAnsi="Open Sans" w:cs="Open Sans"/>
                <w:sz w:val="18"/>
                <w:szCs w:val="18"/>
              </w:rPr>
            </w:pPr>
            <w:r w:rsidRPr="00746F0E">
              <w:rPr>
                <w:rFonts w:ascii="Open Sans" w:hAnsi="Open Sans" w:cs="Open Sans"/>
                <w:sz w:val="18"/>
                <w:szCs w:val="18"/>
              </w:rPr>
              <w:t>Medizinische Großgeräte</w:t>
            </w:r>
          </w:p>
        </w:tc>
        <w:tc>
          <w:tcPr>
            <w:tcW w:w="7938" w:type="dxa"/>
          </w:tcPr>
          <w:p w14:paraId="2C281B6B" w14:textId="06E205A7" w:rsidR="00746F0E" w:rsidRPr="00746F0E" w:rsidRDefault="00746F0E" w:rsidP="00B82802">
            <w:pPr>
              <w:pStyle w:val="TableParagraph"/>
              <w:rPr>
                <w:rFonts w:ascii="Open Sans" w:hAnsi="Open Sans" w:cs="Open Sans"/>
                <w:sz w:val="18"/>
                <w:szCs w:val="18"/>
              </w:rPr>
            </w:pPr>
            <w:r w:rsidRPr="00746F0E">
              <w:rPr>
                <w:rFonts w:ascii="Open Sans" w:hAnsi="Open Sans" w:cs="Open Sans"/>
                <w:sz w:val="18"/>
                <w:szCs w:val="18"/>
              </w:rPr>
              <w:t xml:space="preserve">Für die Konfiguration und Wartung </w:t>
            </w:r>
            <w:r w:rsidRPr="00746F0E">
              <w:rPr>
                <w:rFonts w:ascii="Open Sans" w:hAnsi="Open Sans" w:cs="Open Sans"/>
                <w:sz w:val="18"/>
                <w:szCs w:val="18"/>
              </w:rPr>
              <w:t>von medizinischen Großgeräten</w:t>
            </w:r>
            <w:r w:rsidRPr="00746F0E">
              <w:rPr>
                <w:rFonts w:ascii="Open Sans" w:hAnsi="Open Sans" w:cs="Open Sans"/>
                <w:sz w:val="18"/>
                <w:szCs w:val="18"/>
              </w:rPr>
              <w:t xml:space="preserve"> werden sichere Protokolle genutzt. Die Daten werden beim Transport vor unberechtigtem Mitlesen und Veränderungen geschützt.</w:t>
            </w:r>
          </w:p>
        </w:tc>
        <w:tc>
          <w:tcPr>
            <w:tcW w:w="1418" w:type="dxa"/>
          </w:tcPr>
          <w:p w14:paraId="19B0AE44" w14:textId="77777777" w:rsidR="00746F0E" w:rsidRPr="00746F0E" w:rsidRDefault="00746F0E" w:rsidP="00B82802">
            <w:pPr>
              <w:pStyle w:val="TableParagraph"/>
              <w:spacing w:line="268" w:lineRule="exact"/>
              <w:rPr>
                <w:rFonts w:ascii="Open Sans" w:hAnsi="Open Sans" w:cs="Open Sans"/>
                <w:sz w:val="18"/>
                <w:szCs w:val="18"/>
              </w:rPr>
            </w:pPr>
            <w:r w:rsidRPr="00746F0E">
              <w:rPr>
                <w:rFonts w:ascii="Open Sans" w:hAnsi="Open Sans" w:cs="Open Sans"/>
                <w:sz w:val="18"/>
                <w:szCs w:val="18"/>
              </w:rPr>
              <w:t>01.07.2021</w:t>
            </w:r>
          </w:p>
        </w:tc>
        <w:tc>
          <w:tcPr>
            <w:tcW w:w="425" w:type="dxa"/>
            <w:vAlign w:val="center"/>
          </w:tcPr>
          <w:p w14:paraId="2A1A2ABD" w14:textId="77777777" w:rsidR="00746F0E" w:rsidRPr="00746F0E" w:rsidRDefault="00746F0E" w:rsidP="00B82802">
            <w:pPr>
              <w:jc w:val="center"/>
              <w:rPr>
                <w:rFonts w:ascii="Open Sans" w:hAnsi="Open Sans" w:cs="Open Sans"/>
                <w:sz w:val="18"/>
                <w:szCs w:val="18"/>
              </w:rPr>
            </w:pPr>
          </w:p>
        </w:tc>
        <w:tc>
          <w:tcPr>
            <w:tcW w:w="425" w:type="dxa"/>
            <w:vAlign w:val="center"/>
          </w:tcPr>
          <w:p w14:paraId="48E66BCD" w14:textId="77777777" w:rsidR="00746F0E" w:rsidRPr="00746F0E" w:rsidRDefault="00746F0E" w:rsidP="00B82802">
            <w:pPr>
              <w:jc w:val="center"/>
              <w:rPr>
                <w:rFonts w:ascii="Open Sans" w:hAnsi="Open Sans" w:cs="Open Sans"/>
                <w:sz w:val="18"/>
                <w:szCs w:val="18"/>
              </w:rPr>
            </w:pPr>
          </w:p>
        </w:tc>
        <w:tc>
          <w:tcPr>
            <w:tcW w:w="425" w:type="dxa"/>
            <w:vAlign w:val="center"/>
          </w:tcPr>
          <w:p w14:paraId="4AC27AD4" w14:textId="77777777" w:rsidR="00746F0E" w:rsidRPr="00746F0E" w:rsidRDefault="00746F0E" w:rsidP="00B82802">
            <w:pPr>
              <w:jc w:val="center"/>
              <w:rPr>
                <w:rFonts w:ascii="Open Sans" w:hAnsi="Open Sans" w:cs="Open Sans"/>
                <w:sz w:val="18"/>
                <w:szCs w:val="18"/>
              </w:rPr>
            </w:pPr>
          </w:p>
        </w:tc>
        <w:tc>
          <w:tcPr>
            <w:tcW w:w="426" w:type="dxa"/>
            <w:vAlign w:val="center"/>
          </w:tcPr>
          <w:p w14:paraId="21EEEB50" w14:textId="77777777" w:rsidR="00746F0E" w:rsidRPr="00746F0E" w:rsidRDefault="00746F0E" w:rsidP="00B82802">
            <w:pPr>
              <w:jc w:val="center"/>
              <w:rPr>
                <w:rFonts w:ascii="Open Sans" w:hAnsi="Open Sans" w:cs="Open Sans"/>
                <w:sz w:val="18"/>
                <w:szCs w:val="18"/>
              </w:rPr>
            </w:pPr>
          </w:p>
        </w:tc>
        <w:tc>
          <w:tcPr>
            <w:tcW w:w="425" w:type="dxa"/>
            <w:vAlign w:val="center"/>
          </w:tcPr>
          <w:p w14:paraId="65C61CCC" w14:textId="77777777" w:rsidR="00746F0E" w:rsidRPr="00746F0E" w:rsidRDefault="00746F0E" w:rsidP="00B82802">
            <w:pPr>
              <w:jc w:val="center"/>
              <w:rPr>
                <w:rFonts w:ascii="Open Sans" w:hAnsi="Open Sans" w:cs="Open Sans"/>
                <w:sz w:val="18"/>
                <w:szCs w:val="18"/>
              </w:rPr>
            </w:pPr>
          </w:p>
        </w:tc>
      </w:tr>
      <w:tr w:rsidR="00746F0E" w:rsidRPr="00746F0E" w14:paraId="3CE227D3" w14:textId="77777777" w:rsidTr="00B82802">
        <w:tc>
          <w:tcPr>
            <w:tcW w:w="846" w:type="dxa"/>
            <w:tcMar>
              <w:left w:w="0" w:type="dxa"/>
              <w:right w:w="0" w:type="dxa"/>
            </w:tcMar>
          </w:tcPr>
          <w:p w14:paraId="0074D8E1" w14:textId="77777777" w:rsidR="00746F0E" w:rsidRPr="00746F0E" w:rsidRDefault="00746F0E" w:rsidP="00B82802">
            <w:pPr>
              <w:pStyle w:val="Listenabsatz"/>
              <w:numPr>
                <w:ilvl w:val="0"/>
                <w:numId w:val="1"/>
              </w:numPr>
              <w:rPr>
                <w:rFonts w:ascii="Open Sans" w:hAnsi="Open Sans" w:cs="Open Sans"/>
                <w:sz w:val="18"/>
                <w:szCs w:val="18"/>
              </w:rPr>
            </w:pPr>
          </w:p>
        </w:tc>
        <w:tc>
          <w:tcPr>
            <w:tcW w:w="3260" w:type="dxa"/>
          </w:tcPr>
          <w:p w14:paraId="1DB0CD56" w14:textId="77777777" w:rsidR="00746F0E" w:rsidRPr="00746F0E" w:rsidRDefault="00746F0E" w:rsidP="00B82802">
            <w:pPr>
              <w:pStyle w:val="TableParagraph"/>
              <w:ind w:left="110" w:right="679"/>
              <w:rPr>
                <w:rFonts w:ascii="Open Sans" w:hAnsi="Open Sans" w:cs="Open Sans"/>
                <w:sz w:val="18"/>
                <w:szCs w:val="18"/>
              </w:rPr>
            </w:pPr>
            <w:r w:rsidRPr="00746F0E">
              <w:rPr>
                <w:rFonts w:ascii="Open Sans" w:hAnsi="Open Sans" w:cs="Open Sans"/>
                <w:sz w:val="18"/>
                <w:szCs w:val="18"/>
              </w:rPr>
              <w:t>Medizinische Großgeräte</w:t>
            </w:r>
          </w:p>
        </w:tc>
        <w:tc>
          <w:tcPr>
            <w:tcW w:w="7938" w:type="dxa"/>
          </w:tcPr>
          <w:p w14:paraId="22C22C6B" w14:textId="77777777" w:rsidR="00746F0E" w:rsidRPr="00746F0E" w:rsidRDefault="00746F0E" w:rsidP="00B82802">
            <w:pPr>
              <w:pStyle w:val="TableParagraph"/>
              <w:rPr>
                <w:rFonts w:ascii="Open Sans" w:hAnsi="Open Sans" w:cs="Open Sans"/>
                <w:sz w:val="18"/>
                <w:szCs w:val="18"/>
              </w:rPr>
            </w:pPr>
            <w:r w:rsidRPr="00746F0E">
              <w:rPr>
                <w:rFonts w:ascii="Open Sans" w:hAnsi="Open Sans" w:cs="Open Sans"/>
                <w:sz w:val="18"/>
                <w:szCs w:val="18"/>
              </w:rPr>
              <w:t>Es ist festgelegt:</w:t>
            </w:r>
          </w:p>
          <w:p w14:paraId="0E2ED17D" w14:textId="77777777" w:rsidR="00746F0E" w:rsidRPr="00746F0E" w:rsidRDefault="00746F0E" w:rsidP="00B82802">
            <w:pPr>
              <w:pStyle w:val="TableParagraph"/>
              <w:rPr>
                <w:rFonts w:ascii="Open Sans" w:hAnsi="Open Sans" w:cs="Open Sans"/>
                <w:sz w:val="18"/>
                <w:szCs w:val="18"/>
              </w:rPr>
            </w:pPr>
            <w:r w:rsidRPr="00746F0E">
              <w:rPr>
                <w:rFonts w:ascii="Open Sans" w:hAnsi="Open Sans" w:cs="Open Sans"/>
                <w:sz w:val="18"/>
                <w:szCs w:val="18"/>
              </w:rPr>
              <w:t>• welche Daten und Ereignisse protokolliert werden sollen,</w:t>
            </w:r>
          </w:p>
          <w:p w14:paraId="3527649E" w14:textId="77777777" w:rsidR="00746F0E" w:rsidRPr="00746F0E" w:rsidRDefault="00746F0E" w:rsidP="00B82802">
            <w:pPr>
              <w:pStyle w:val="TableParagraph"/>
              <w:rPr>
                <w:rFonts w:ascii="Open Sans" w:hAnsi="Open Sans" w:cs="Open Sans"/>
                <w:sz w:val="18"/>
                <w:szCs w:val="18"/>
              </w:rPr>
            </w:pPr>
            <w:r w:rsidRPr="00746F0E">
              <w:rPr>
                <w:rFonts w:ascii="Open Sans" w:hAnsi="Open Sans" w:cs="Open Sans"/>
                <w:sz w:val="18"/>
                <w:szCs w:val="18"/>
              </w:rPr>
              <w:t>• wie lange die Protokolldaten aufbewahrt werden und</w:t>
            </w:r>
          </w:p>
          <w:p w14:paraId="434BC612" w14:textId="77777777" w:rsidR="00746F0E" w:rsidRPr="00746F0E" w:rsidRDefault="00746F0E" w:rsidP="00B82802">
            <w:pPr>
              <w:pStyle w:val="TableParagraph"/>
              <w:rPr>
                <w:rFonts w:ascii="Open Sans" w:hAnsi="Open Sans" w:cs="Open Sans"/>
                <w:sz w:val="18"/>
                <w:szCs w:val="18"/>
              </w:rPr>
            </w:pPr>
            <w:r w:rsidRPr="00746F0E">
              <w:rPr>
                <w:rFonts w:ascii="Open Sans" w:hAnsi="Open Sans" w:cs="Open Sans"/>
                <w:sz w:val="18"/>
                <w:szCs w:val="18"/>
              </w:rPr>
              <w:t>• wer diese einsehen darf.</w:t>
            </w:r>
          </w:p>
          <w:p w14:paraId="4CFA795E" w14:textId="77777777" w:rsidR="00746F0E" w:rsidRPr="00746F0E" w:rsidRDefault="00746F0E" w:rsidP="00B82802">
            <w:pPr>
              <w:pStyle w:val="TableParagraph"/>
              <w:rPr>
                <w:rFonts w:ascii="Open Sans" w:hAnsi="Open Sans" w:cs="Open Sans"/>
                <w:sz w:val="18"/>
                <w:szCs w:val="18"/>
              </w:rPr>
            </w:pPr>
            <w:r w:rsidRPr="00746F0E">
              <w:rPr>
                <w:rFonts w:ascii="Open Sans" w:hAnsi="Open Sans" w:cs="Open Sans"/>
                <w:sz w:val="18"/>
                <w:szCs w:val="18"/>
              </w:rPr>
              <w:t>Generell werden alle sicherheitsrelevanten Systemereignisse protokolliert und bei Bedarf ausgewertet.</w:t>
            </w:r>
          </w:p>
        </w:tc>
        <w:tc>
          <w:tcPr>
            <w:tcW w:w="1418" w:type="dxa"/>
          </w:tcPr>
          <w:p w14:paraId="400EDE9E" w14:textId="77777777" w:rsidR="00746F0E" w:rsidRPr="00746F0E" w:rsidRDefault="00746F0E" w:rsidP="00B82802">
            <w:pPr>
              <w:pStyle w:val="TableParagraph"/>
              <w:spacing w:line="268" w:lineRule="exact"/>
              <w:rPr>
                <w:rFonts w:ascii="Open Sans" w:hAnsi="Open Sans" w:cs="Open Sans"/>
                <w:sz w:val="18"/>
                <w:szCs w:val="18"/>
              </w:rPr>
            </w:pPr>
            <w:r w:rsidRPr="00746F0E">
              <w:rPr>
                <w:rFonts w:ascii="Open Sans" w:hAnsi="Open Sans" w:cs="Open Sans"/>
                <w:sz w:val="18"/>
                <w:szCs w:val="18"/>
              </w:rPr>
              <w:t>01.01.2022</w:t>
            </w:r>
          </w:p>
        </w:tc>
        <w:tc>
          <w:tcPr>
            <w:tcW w:w="425" w:type="dxa"/>
            <w:vAlign w:val="center"/>
          </w:tcPr>
          <w:p w14:paraId="157F3A94" w14:textId="77777777" w:rsidR="00746F0E" w:rsidRPr="00746F0E" w:rsidRDefault="00746F0E" w:rsidP="00B82802">
            <w:pPr>
              <w:jc w:val="center"/>
              <w:rPr>
                <w:rFonts w:ascii="Open Sans" w:hAnsi="Open Sans" w:cs="Open Sans"/>
                <w:sz w:val="18"/>
                <w:szCs w:val="18"/>
              </w:rPr>
            </w:pPr>
          </w:p>
        </w:tc>
        <w:tc>
          <w:tcPr>
            <w:tcW w:w="425" w:type="dxa"/>
            <w:vAlign w:val="center"/>
          </w:tcPr>
          <w:p w14:paraId="4CF6F7D0" w14:textId="77777777" w:rsidR="00746F0E" w:rsidRPr="00746F0E" w:rsidRDefault="00746F0E" w:rsidP="00B82802">
            <w:pPr>
              <w:jc w:val="center"/>
              <w:rPr>
                <w:rFonts w:ascii="Open Sans" w:hAnsi="Open Sans" w:cs="Open Sans"/>
                <w:sz w:val="18"/>
                <w:szCs w:val="18"/>
              </w:rPr>
            </w:pPr>
          </w:p>
        </w:tc>
        <w:tc>
          <w:tcPr>
            <w:tcW w:w="425" w:type="dxa"/>
            <w:vAlign w:val="center"/>
          </w:tcPr>
          <w:p w14:paraId="398DBB4F" w14:textId="77777777" w:rsidR="00746F0E" w:rsidRPr="00746F0E" w:rsidRDefault="00746F0E" w:rsidP="00B82802">
            <w:pPr>
              <w:jc w:val="center"/>
              <w:rPr>
                <w:rFonts w:ascii="Open Sans" w:hAnsi="Open Sans" w:cs="Open Sans"/>
                <w:sz w:val="18"/>
                <w:szCs w:val="18"/>
              </w:rPr>
            </w:pPr>
          </w:p>
        </w:tc>
        <w:tc>
          <w:tcPr>
            <w:tcW w:w="426" w:type="dxa"/>
            <w:vAlign w:val="center"/>
          </w:tcPr>
          <w:p w14:paraId="0D5789E3" w14:textId="77777777" w:rsidR="00746F0E" w:rsidRPr="00746F0E" w:rsidRDefault="00746F0E" w:rsidP="00B82802">
            <w:pPr>
              <w:jc w:val="center"/>
              <w:rPr>
                <w:rFonts w:ascii="Open Sans" w:hAnsi="Open Sans" w:cs="Open Sans"/>
                <w:sz w:val="18"/>
                <w:szCs w:val="18"/>
              </w:rPr>
            </w:pPr>
          </w:p>
        </w:tc>
        <w:tc>
          <w:tcPr>
            <w:tcW w:w="425" w:type="dxa"/>
            <w:vAlign w:val="center"/>
          </w:tcPr>
          <w:p w14:paraId="7251882D" w14:textId="77777777" w:rsidR="00746F0E" w:rsidRPr="00746F0E" w:rsidRDefault="00746F0E" w:rsidP="00B82802">
            <w:pPr>
              <w:jc w:val="center"/>
              <w:rPr>
                <w:rFonts w:ascii="Open Sans" w:hAnsi="Open Sans" w:cs="Open Sans"/>
                <w:sz w:val="18"/>
                <w:szCs w:val="18"/>
              </w:rPr>
            </w:pPr>
          </w:p>
        </w:tc>
      </w:tr>
      <w:tr w:rsidR="00746F0E" w:rsidRPr="00746F0E" w14:paraId="44357ACC" w14:textId="77777777" w:rsidTr="00B82802">
        <w:tc>
          <w:tcPr>
            <w:tcW w:w="846" w:type="dxa"/>
            <w:tcMar>
              <w:left w:w="0" w:type="dxa"/>
              <w:right w:w="0" w:type="dxa"/>
            </w:tcMar>
          </w:tcPr>
          <w:p w14:paraId="4B1E9EB2" w14:textId="77777777" w:rsidR="00746F0E" w:rsidRPr="00746F0E" w:rsidRDefault="00746F0E" w:rsidP="00B82802">
            <w:pPr>
              <w:pStyle w:val="Listenabsatz"/>
              <w:numPr>
                <w:ilvl w:val="0"/>
                <w:numId w:val="1"/>
              </w:numPr>
              <w:rPr>
                <w:rFonts w:ascii="Open Sans" w:hAnsi="Open Sans" w:cs="Open Sans"/>
                <w:sz w:val="18"/>
                <w:szCs w:val="18"/>
              </w:rPr>
            </w:pPr>
          </w:p>
        </w:tc>
        <w:tc>
          <w:tcPr>
            <w:tcW w:w="3260" w:type="dxa"/>
          </w:tcPr>
          <w:p w14:paraId="70BAF2B8" w14:textId="77777777" w:rsidR="00746F0E" w:rsidRPr="00746F0E" w:rsidRDefault="00746F0E" w:rsidP="00B82802">
            <w:pPr>
              <w:pStyle w:val="TableParagraph"/>
              <w:spacing w:line="268" w:lineRule="exact"/>
              <w:ind w:left="110"/>
              <w:rPr>
                <w:rFonts w:ascii="Open Sans" w:hAnsi="Open Sans" w:cs="Open Sans"/>
                <w:sz w:val="18"/>
                <w:szCs w:val="18"/>
              </w:rPr>
            </w:pPr>
            <w:r w:rsidRPr="00746F0E">
              <w:rPr>
                <w:rFonts w:ascii="Open Sans" w:hAnsi="Open Sans" w:cs="Open Sans"/>
                <w:sz w:val="18"/>
                <w:szCs w:val="18"/>
              </w:rPr>
              <w:t>Medizinische Großgeräte</w:t>
            </w:r>
          </w:p>
        </w:tc>
        <w:tc>
          <w:tcPr>
            <w:tcW w:w="7938" w:type="dxa"/>
          </w:tcPr>
          <w:p w14:paraId="4EFE77CD" w14:textId="77777777" w:rsidR="00746F0E" w:rsidRPr="00746F0E" w:rsidRDefault="00746F0E" w:rsidP="00B82802">
            <w:pPr>
              <w:pStyle w:val="TableParagraph"/>
              <w:ind w:right="86"/>
              <w:rPr>
                <w:rFonts w:ascii="Open Sans" w:hAnsi="Open Sans" w:cs="Open Sans"/>
                <w:sz w:val="18"/>
                <w:szCs w:val="18"/>
              </w:rPr>
            </w:pPr>
            <w:r w:rsidRPr="00746F0E">
              <w:rPr>
                <w:rFonts w:ascii="Open Sans" w:hAnsi="Open Sans" w:cs="Open Sans"/>
                <w:sz w:val="18"/>
                <w:szCs w:val="18"/>
              </w:rPr>
              <w:t>Alle nicht genutzten Dienste, Funktionen und Schnittstellen der medizinischen Großgeräte müssen soweit möglich deaktiviert oder deinstalliert werden.</w:t>
            </w:r>
          </w:p>
        </w:tc>
        <w:tc>
          <w:tcPr>
            <w:tcW w:w="1418" w:type="dxa"/>
          </w:tcPr>
          <w:p w14:paraId="1346D029" w14:textId="77777777" w:rsidR="00746F0E" w:rsidRPr="00746F0E" w:rsidRDefault="00746F0E" w:rsidP="00B82802">
            <w:pPr>
              <w:pStyle w:val="TableParagraph"/>
              <w:spacing w:line="268" w:lineRule="exact"/>
              <w:rPr>
                <w:rFonts w:ascii="Open Sans" w:hAnsi="Open Sans" w:cs="Open Sans"/>
                <w:sz w:val="18"/>
                <w:szCs w:val="18"/>
              </w:rPr>
            </w:pPr>
            <w:r w:rsidRPr="00746F0E">
              <w:rPr>
                <w:rFonts w:ascii="Open Sans" w:hAnsi="Open Sans" w:cs="Open Sans"/>
                <w:sz w:val="18"/>
                <w:szCs w:val="18"/>
              </w:rPr>
              <w:t>01.01.2022</w:t>
            </w:r>
          </w:p>
        </w:tc>
        <w:tc>
          <w:tcPr>
            <w:tcW w:w="425" w:type="dxa"/>
            <w:vAlign w:val="center"/>
          </w:tcPr>
          <w:p w14:paraId="1EAC82D3" w14:textId="77777777" w:rsidR="00746F0E" w:rsidRPr="00746F0E" w:rsidRDefault="00746F0E" w:rsidP="00B82802">
            <w:pPr>
              <w:jc w:val="center"/>
              <w:rPr>
                <w:rFonts w:ascii="Open Sans" w:hAnsi="Open Sans" w:cs="Open Sans"/>
                <w:sz w:val="18"/>
                <w:szCs w:val="18"/>
              </w:rPr>
            </w:pPr>
          </w:p>
        </w:tc>
        <w:tc>
          <w:tcPr>
            <w:tcW w:w="425" w:type="dxa"/>
            <w:vAlign w:val="center"/>
          </w:tcPr>
          <w:p w14:paraId="5B238888" w14:textId="77777777" w:rsidR="00746F0E" w:rsidRPr="00746F0E" w:rsidRDefault="00746F0E" w:rsidP="00B82802">
            <w:pPr>
              <w:jc w:val="center"/>
              <w:rPr>
                <w:rFonts w:ascii="Open Sans" w:hAnsi="Open Sans" w:cs="Open Sans"/>
                <w:sz w:val="18"/>
                <w:szCs w:val="18"/>
              </w:rPr>
            </w:pPr>
          </w:p>
        </w:tc>
        <w:tc>
          <w:tcPr>
            <w:tcW w:w="425" w:type="dxa"/>
            <w:vAlign w:val="center"/>
          </w:tcPr>
          <w:p w14:paraId="7D39A5DD" w14:textId="77777777" w:rsidR="00746F0E" w:rsidRPr="00746F0E" w:rsidRDefault="00746F0E" w:rsidP="00B82802">
            <w:pPr>
              <w:jc w:val="center"/>
              <w:rPr>
                <w:rFonts w:ascii="Open Sans" w:hAnsi="Open Sans" w:cs="Open Sans"/>
                <w:sz w:val="18"/>
                <w:szCs w:val="18"/>
              </w:rPr>
            </w:pPr>
          </w:p>
        </w:tc>
        <w:tc>
          <w:tcPr>
            <w:tcW w:w="426" w:type="dxa"/>
            <w:vAlign w:val="center"/>
          </w:tcPr>
          <w:p w14:paraId="279D1509" w14:textId="77777777" w:rsidR="00746F0E" w:rsidRPr="00746F0E" w:rsidRDefault="00746F0E" w:rsidP="00B82802">
            <w:pPr>
              <w:jc w:val="center"/>
              <w:rPr>
                <w:rFonts w:ascii="Open Sans" w:hAnsi="Open Sans" w:cs="Open Sans"/>
                <w:sz w:val="18"/>
                <w:szCs w:val="18"/>
              </w:rPr>
            </w:pPr>
          </w:p>
        </w:tc>
        <w:tc>
          <w:tcPr>
            <w:tcW w:w="425" w:type="dxa"/>
            <w:vAlign w:val="center"/>
          </w:tcPr>
          <w:p w14:paraId="503CB696" w14:textId="77777777" w:rsidR="00746F0E" w:rsidRPr="00746F0E" w:rsidRDefault="00746F0E" w:rsidP="00B82802">
            <w:pPr>
              <w:jc w:val="center"/>
              <w:rPr>
                <w:rFonts w:ascii="Open Sans" w:hAnsi="Open Sans" w:cs="Open Sans"/>
                <w:sz w:val="18"/>
                <w:szCs w:val="18"/>
              </w:rPr>
            </w:pPr>
          </w:p>
        </w:tc>
      </w:tr>
      <w:tr w:rsidR="00746F0E" w:rsidRPr="00746F0E" w14:paraId="3EBDE4FB" w14:textId="77777777" w:rsidTr="00B82802">
        <w:tc>
          <w:tcPr>
            <w:tcW w:w="846" w:type="dxa"/>
            <w:tcMar>
              <w:left w:w="0" w:type="dxa"/>
              <w:right w:w="0" w:type="dxa"/>
            </w:tcMar>
          </w:tcPr>
          <w:p w14:paraId="52B4C9F0" w14:textId="77777777" w:rsidR="00746F0E" w:rsidRPr="00746F0E" w:rsidRDefault="00746F0E" w:rsidP="00B82802">
            <w:pPr>
              <w:pStyle w:val="Listenabsatz"/>
              <w:numPr>
                <w:ilvl w:val="0"/>
                <w:numId w:val="1"/>
              </w:numPr>
              <w:rPr>
                <w:rFonts w:ascii="Open Sans" w:hAnsi="Open Sans" w:cs="Open Sans"/>
                <w:sz w:val="18"/>
                <w:szCs w:val="18"/>
              </w:rPr>
            </w:pPr>
          </w:p>
        </w:tc>
        <w:tc>
          <w:tcPr>
            <w:tcW w:w="3260" w:type="dxa"/>
          </w:tcPr>
          <w:p w14:paraId="7CB3D041" w14:textId="77777777" w:rsidR="00746F0E" w:rsidRPr="00746F0E" w:rsidRDefault="00746F0E" w:rsidP="00B82802">
            <w:pPr>
              <w:pStyle w:val="TableParagraph"/>
              <w:spacing w:line="268" w:lineRule="exact"/>
              <w:ind w:left="110"/>
              <w:rPr>
                <w:rFonts w:ascii="Open Sans" w:hAnsi="Open Sans" w:cs="Open Sans"/>
                <w:sz w:val="18"/>
                <w:szCs w:val="18"/>
              </w:rPr>
            </w:pPr>
            <w:r w:rsidRPr="00746F0E">
              <w:rPr>
                <w:rFonts w:ascii="Open Sans" w:hAnsi="Open Sans" w:cs="Open Sans"/>
                <w:sz w:val="18"/>
                <w:szCs w:val="18"/>
              </w:rPr>
              <w:t>Medizinische Großgeräte</w:t>
            </w:r>
          </w:p>
        </w:tc>
        <w:tc>
          <w:tcPr>
            <w:tcW w:w="7938" w:type="dxa"/>
          </w:tcPr>
          <w:p w14:paraId="1949462D" w14:textId="77777777" w:rsidR="00746F0E" w:rsidRPr="00746F0E" w:rsidRDefault="00746F0E" w:rsidP="00B82802">
            <w:pPr>
              <w:pStyle w:val="TableParagraph"/>
              <w:ind w:right="86"/>
              <w:rPr>
                <w:rFonts w:ascii="Open Sans" w:hAnsi="Open Sans" w:cs="Open Sans"/>
                <w:sz w:val="18"/>
                <w:szCs w:val="18"/>
              </w:rPr>
            </w:pPr>
            <w:r w:rsidRPr="00746F0E">
              <w:rPr>
                <w:rFonts w:ascii="Open Sans" w:hAnsi="Open Sans" w:cs="Open Sans"/>
                <w:sz w:val="18"/>
                <w:szCs w:val="18"/>
              </w:rPr>
              <w:t>Nicht genutzte und unnötige Benutzerkonten wurden deaktiviert.</w:t>
            </w:r>
          </w:p>
        </w:tc>
        <w:tc>
          <w:tcPr>
            <w:tcW w:w="1418" w:type="dxa"/>
          </w:tcPr>
          <w:p w14:paraId="2B15E9DE" w14:textId="77777777" w:rsidR="00746F0E" w:rsidRPr="00746F0E" w:rsidRDefault="00746F0E" w:rsidP="00B82802">
            <w:pPr>
              <w:pStyle w:val="TableParagraph"/>
              <w:spacing w:line="268" w:lineRule="exact"/>
              <w:rPr>
                <w:rFonts w:ascii="Open Sans" w:hAnsi="Open Sans" w:cs="Open Sans"/>
                <w:sz w:val="18"/>
                <w:szCs w:val="18"/>
              </w:rPr>
            </w:pPr>
            <w:r w:rsidRPr="00746F0E">
              <w:rPr>
                <w:rFonts w:ascii="Open Sans" w:hAnsi="Open Sans" w:cs="Open Sans"/>
                <w:sz w:val="18"/>
                <w:szCs w:val="18"/>
              </w:rPr>
              <w:t>01.07.2021</w:t>
            </w:r>
          </w:p>
        </w:tc>
        <w:tc>
          <w:tcPr>
            <w:tcW w:w="425" w:type="dxa"/>
            <w:vAlign w:val="center"/>
          </w:tcPr>
          <w:p w14:paraId="02B9A200" w14:textId="77777777" w:rsidR="00746F0E" w:rsidRPr="00746F0E" w:rsidRDefault="00746F0E" w:rsidP="00B82802">
            <w:pPr>
              <w:jc w:val="center"/>
              <w:rPr>
                <w:rFonts w:ascii="Open Sans" w:hAnsi="Open Sans" w:cs="Open Sans"/>
                <w:sz w:val="18"/>
                <w:szCs w:val="18"/>
              </w:rPr>
            </w:pPr>
          </w:p>
        </w:tc>
        <w:tc>
          <w:tcPr>
            <w:tcW w:w="425" w:type="dxa"/>
            <w:vAlign w:val="center"/>
          </w:tcPr>
          <w:p w14:paraId="26887DE4" w14:textId="77777777" w:rsidR="00746F0E" w:rsidRPr="00746F0E" w:rsidRDefault="00746F0E" w:rsidP="00B82802">
            <w:pPr>
              <w:jc w:val="center"/>
              <w:rPr>
                <w:rFonts w:ascii="Open Sans" w:hAnsi="Open Sans" w:cs="Open Sans"/>
                <w:sz w:val="18"/>
                <w:szCs w:val="18"/>
              </w:rPr>
            </w:pPr>
          </w:p>
        </w:tc>
        <w:tc>
          <w:tcPr>
            <w:tcW w:w="425" w:type="dxa"/>
            <w:vAlign w:val="center"/>
          </w:tcPr>
          <w:p w14:paraId="5D526DE5" w14:textId="77777777" w:rsidR="00746F0E" w:rsidRPr="00746F0E" w:rsidRDefault="00746F0E" w:rsidP="00B82802">
            <w:pPr>
              <w:jc w:val="center"/>
              <w:rPr>
                <w:rFonts w:ascii="Open Sans" w:hAnsi="Open Sans" w:cs="Open Sans"/>
                <w:sz w:val="18"/>
                <w:szCs w:val="18"/>
              </w:rPr>
            </w:pPr>
          </w:p>
        </w:tc>
        <w:tc>
          <w:tcPr>
            <w:tcW w:w="426" w:type="dxa"/>
            <w:vAlign w:val="center"/>
          </w:tcPr>
          <w:p w14:paraId="3E4EC169" w14:textId="77777777" w:rsidR="00746F0E" w:rsidRPr="00746F0E" w:rsidRDefault="00746F0E" w:rsidP="00B82802">
            <w:pPr>
              <w:jc w:val="center"/>
              <w:rPr>
                <w:rFonts w:ascii="Open Sans" w:hAnsi="Open Sans" w:cs="Open Sans"/>
                <w:sz w:val="18"/>
                <w:szCs w:val="18"/>
              </w:rPr>
            </w:pPr>
          </w:p>
        </w:tc>
        <w:tc>
          <w:tcPr>
            <w:tcW w:w="425" w:type="dxa"/>
            <w:vAlign w:val="center"/>
          </w:tcPr>
          <w:p w14:paraId="6E5E9D1A" w14:textId="77777777" w:rsidR="00746F0E" w:rsidRPr="00746F0E" w:rsidRDefault="00746F0E" w:rsidP="00B82802">
            <w:pPr>
              <w:jc w:val="center"/>
              <w:rPr>
                <w:rFonts w:ascii="Open Sans" w:hAnsi="Open Sans" w:cs="Open Sans"/>
                <w:sz w:val="18"/>
                <w:szCs w:val="18"/>
              </w:rPr>
            </w:pPr>
          </w:p>
        </w:tc>
      </w:tr>
      <w:tr w:rsidR="00746F0E" w:rsidRPr="00746F0E" w14:paraId="33BFE7F9" w14:textId="77777777" w:rsidTr="00B82802">
        <w:tc>
          <w:tcPr>
            <w:tcW w:w="846" w:type="dxa"/>
            <w:tcMar>
              <w:left w:w="0" w:type="dxa"/>
              <w:right w:w="0" w:type="dxa"/>
            </w:tcMar>
          </w:tcPr>
          <w:p w14:paraId="160658D0" w14:textId="77777777" w:rsidR="00746F0E" w:rsidRPr="00746F0E" w:rsidRDefault="00746F0E" w:rsidP="00B82802">
            <w:pPr>
              <w:pStyle w:val="Listenabsatz"/>
              <w:numPr>
                <w:ilvl w:val="0"/>
                <w:numId w:val="1"/>
              </w:numPr>
              <w:rPr>
                <w:rFonts w:ascii="Open Sans" w:hAnsi="Open Sans" w:cs="Open Sans"/>
                <w:sz w:val="18"/>
                <w:szCs w:val="18"/>
              </w:rPr>
            </w:pPr>
          </w:p>
        </w:tc>
        <w:tc>
          <w:tcPr>
            <w:tcW w:w="3260" w:type="dxa"/>
          </w:tcPr>
          <w:p w14:paraId="0C89DF0F" w14:textId="77777777" w:rsidR="00746F0E" w:rsidRPr="00746F0E" w:rsidRDefault="00746F0E" w:rsidP="00B82802">
            <w:pPr>
              <w:pStyle w:val="TableParagraph"/>
              <w:spacing w:line="268" w:lineRule="exact"/>
              <w:ind w:left="110"/>
              <w:rPr>
                <w:rFonts w:ascii="Open Sans" w:hAnsi="Open Sans" w:cs="Open Sans"/>
                <w:sz w:val="18"/>
                <w:szCs w:val="18"/>
              </w:rPr>
            </w:pPr>
            <w:r w:rsidRPr="00746F0E">
              <w:rPr>
                <w:rFonts w:ascii="Open Sans" w:hAnsi="Open Sans" w:cs="Open Sans"/>
                <w:sz w:val="18"/>
                <w:szCs w:val="18"/>
              </w:rPr>
              <w:t>Medizinische Großgeräte</w:t>
            </w:r>
          </w:p>
        </w:tc>
        <w:tc>
          <w:tcPr>
            <w:tcW w:w="7938" w:type="dxa"/>
          </w:tcPr>
          <w:p w14:paraId="203EFE78" w14:textId="77777777" w:rsidR="00746F0E" w:rsidRPr="00746F0E" w:rsidRDefault="00746F0E" w:rsidP="00B82802">
            <w:pPr>
              <w:pStyle w:val="TableParagraph"/>
              <w:ind w:right="86"/>
              <w:rPr>
                <w:rFonts w:ascii="Open Sans" w:hAnsi="Open Sans" w:cs="Open Sans"/>
                <w:sz w:val="18"/>
                <w:szCs w:val="18"/>
              </w:rPr>
            </w:pPr>
            <w:r w:rsidRPr="00746F0E">
              <w:rPr>
                <w:rFonts w:ascii="Open Sans" w:hAnsi="Open Sans" w:cs="Open Sans"/>
                <w:sz w:val="18"/>
                <w:szCs w:val="18"/>
              </w:rPr>
              <w:t>Netzsegmentierung: Medizinische Großgeräte sollten von der weiteren IT getrennt werden.</w:t>
            </w:r>
          </w:p>
        </w:tc>
        <w:tc>
          <w:tcPr>
            <w:tcW w:w="1418" w:type="dxa"/>
          </w:tcPr>
          <w:p w14:paraId="2BB50807" w14:textId="77777777" w:rsidR="00746F0E" w:rsidRPr="00746F0E" w:rsidRDefault="00746F0E" w:rsidP="00B82802">
            <w:pPr>
              <w:pStyle w:val="TableParagraph"/>
              <w:spacing w:line="268" w:lineRule="exact"/>
              <w:rPr>
                <w:rFonts w:ascii="Open Sans" w:hAnsi="Open Sans" w:cs="Open Sans"/>
                <w:sz w:val="18"/>
                <w:szCs w:val="18"/>
              </w:rPr>
            </w:pPr>
            <w:r w:rsidRPr="00746F0E">
              <w:rPr>
                <w:rFonts w:ascii="Open Sans" w:hAnsi="Open Sans" w:cs="Open Sans"/>
                <w:sz w:val="18"/>
                <w:szCs w:val="18"/>
              </w:rPr>
              <w:t>01.01.2022</w:t>
            </w:r>
          </w:p>
        </w:tc>
        <w:tc>
          <w:tcPr>
            <w:tcW w:w="425" w:type="dxa"/>
            <w:vAlign w:val="center"/>
          </w:tcPr>
          <w:p w14:paraId="5B01C47D" w14:textId="77777777" w:rsidR="00746F0E" w:rsidRPr="00746F0E" w:rsidRDefault="00746F0E" w:rsidP="00B82802">
            <w:pPr>
              <w:jc w:val="center"/>
              <w:rPr>
                <w:rFonts w:ascii="Open Sans" w:hAnsi="Open Sans" w:cs="Open Sans"/>
                <w:sz w:val="18"/>
                <w:szCs w:val="18"/>
              </w:rPr>
            </w:pPr>
          </w:p>
        </w:tc>
        <w:tc>
          <w:tcPr>
            <w:tcW w:w="425" w:type="dxa"/>
            <w:vAlign w:val="center"/>
          </w:tcPr>
          <w:p w14:paraId="6DDBE858" w14:textId="77777777" w:rsidR="00746F0E" w:rsidRPr="00746F0E" w:rsidRDefault="00746F0E" w:rsidP="00B82802">
            <w:pPr>
              <w:jc w:val="center"/>
              <w:rPr>
                <w:rFonts w:ascii="Open Sans" w:hAnsi="Open Sans" w:cs="Open Sans"/>
                <w:sz w:val="18"/>
                <w:szCs w:val="18"/>
              </w:rPr>
            </w:pPr>
          </w:p>
        </w:tc>
        <w:tc>
          <w:tcPr>
            <w:tcW w:w="425" w:type="dxa"/>
            <w:vAlign w:val="center"/>
          </w:tcPr>
          <w:p w14:paraId="286D5841" w14:textId="77777777" w:rsidR="00746F0E" w:rsidRPr="00746F0E" w:rsidRDefault="00746F0E" w:rsidP="00B82802">
            <w:pPr>
              <w:jc w:val="center"/>
              <w:rPr>
                <w:rFonts w:ascii="Open Sans" w:hAnsi="Open Sans" w:cs="Open Sans"/>
                <w:sz w:val="18"/>
                <w:szCs w:val="18"/>
              </w:rPr>
            </w:pPr>
          </w:p>
        </w:tc>
        <w:tc>
          <w:tcPr>
            <w:tcW w:w="426" w:type="dxa"/>
            <w:vAlign w:val="center"/>
          </w:tcPr>
          <w:p w14:paraId="05DF78D4" w14:textId="77777777" w:rsidR="00746F0E" w:rsidRPr="00746F0E" w:rsidRDefault="00746F0E" w:rsidP="00B82802">
            <w:pPr>
              <w:jc w:val="center"/>
              <w:rPr>
                <w:rFonts w:ascii="Open Sans" w:hAnsi="Open Sans" w:cs="Open Sans"/>
                <w:sz w:val="18"/>
                <w:szCs w:val="18"/>
              </w:rPr>
            </w:pPr>
          </w:p>
        </w:tc>
        <w:tc>
          <w:tcPr>
            <w:tcW w:w="425" w:type="dxa"/>
            <w:vAlign w:val="center"/>
          </w:tcPr>
          <w:p w14:paraId="692B0DDE" w14:textId="77777777" w:rsidR="00746F0E" w:rsidRPr="00746F0E" w:rsidRDefault="00746F0E" w:rsidP="00B82802">
            <w:pPr>
              <w:jc w:val="center"/>
              <w:rPr>
                <w:rFonts w:ascii="Open Sans" w:hAnsi="Open Sans" w:cs="Open Sans"/>
                <w:sz w:val="18"/>
                <w:szCs w:val="18"/>
              </w:rPr>
            </w:pPr>
          </w:p>
        </w:tc>
      </w:tr>
    </w:tbl>
    <w:p w14:paraId="1E5D1549" w14:textId="77777777" w:rsidR="00746F0E" w:rsidRPr="00650DB1" w:rsidRDefault="00746F0E" w:rsidP="00650DB1">
      <w:pPr>
        <w:tabs>
          <w:tab w:val="left" w:pos="469"/>
          <w:tab w:val="left" w:pos="787"/>
          <w:tab w:val="left" w:pos="1219"/>
        </w:tabs>
        <w:rPr>
          <w:rFonts w:ascii="Open Sans" w:hAnsi="Open Sans" w:cs="Open Sans"/>
          <w:b/>
          <w:bCs/>
        </w:rPr>
      </w:pPr>
    </w:p>
    <w:sectPr w:rsidR="00746F0E" w:rsidRPr="00650DB1" w:rsidSect="008B2AFE">
      <w:pgSz w:w="16838" w:h="11906" w:orient="landscape"/>
      <w:pgMar w:top="567" w:right="567"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4D"/>
    <w:family w:val="decorative"/>
    <w:pitch w:val="variable"/>
    <w:sig w:usb0="00000003" w:usb1="00000000" w:usb2="00000000" w:usb3="00000000" w:csb0="8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C7E79"/>
    <w:multiLevelType w:val="hybridMultilevel"/>
    <w:tmpl w:val="D96EF3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4163C3"/>
    <w:multiLevelType w:val="hybridMultilevel"/>
    <w:tmpl w:val="D96EF3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771"/>
    <w:rsid w:val="00020771"/>
    <w:rsid w:val="001D3E1F"/>
    <w:rsid w:val="001F7874"/>
    <w:rsid w:val="002928C4"/>
    <w:rsid w:val="00345583"/>
    <w:rsid w:val="003C079A"/>
    <w:rsid w:val="006413A7"/>
    <w:rsid w:val="00650DB1"/>
    <w:rsid w:val="006B354B"/>
    <w:rsid w:val="00746F0E"/>
    <w:rsid w:val="00753574"/>
    <w:rsid w:val="008A09A9"/>
    <w:rsid w:val="008B2AFE"/>
    <w:rsid w:val="009C77B0"/>
    <w:rsid w:val="00C06878"/>
    <w:rsid w:val="00D14960"/>
    <w:rsid w:val="00DA0FE0"/>
    <w:rsid w:val="00E01EBE"/>
    <w:rsid w:val="00FB5D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5E71"/>
  <w15:chartTrackingRefBased/>
  <w15:docId w15:val="{F4151F08-C7AF-468C-87F9-EBD0C149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928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20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01EBE"/>
    <w:pPr>
      <w:ind w:left="720"/>
      <w:contextualSpacing/>
    </w:pPr>
  </w:style>
  <w:style w:type="paragraph" w:customStyle="1" w:styleId="TableParagraph">
    <w:name w:val="Table Paragraph"/>
    <w:basedOn w:val="Standard"/>
    <w:uiPriority w:val="1"/>
    <w:qFormat/>
    <w:rsid w:val="00E01EBE"/>
    <w:pPr>
      <w:widowControl w:val="0"/>
      <w:autoSpaceDE w:val="0"/>
      <w:autoSpaceDN w:val="0"/>
      <w:spacing w:after="0" w:line="240" w:lineRule="auto"/>
      <w:ind w:left="108"/>
    </w:pPr>
    <w:rPr>
      <w:rFonts w:ascii="Calibri" w:eastAsia="Calibri" w:hAnsi="Calibri" w:cs="Calibri"/>
    </w:rPr>
  </w:style>
  <w:style w:type="paragraph" w:styleId="Titel">
    <w:name w:val="Title"/>
    <w:basedOn w:val="Standard"/>
    <w:next w:val="Standard"/>
    <w:link w:val="TitelZchn"/>
    <w:uiPriority w:val="10"/>
    <w:qFormat/>
    <w:rsid w:val="00C068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06878"/>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2928C4"/>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6413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1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Oleownik</dc:creator>
  <cp:keywords/>
  <dc:description/>
  <cp:lastModifiedBy>Sebastian Koye</cp:lastModifiedBy>
  <cp:revision>2</cp:revision>
  <cp:lastPrinted>2020-12-28T22:18:00Z</cp:lastPrinted>
  <dcterms:created xsi:type="dcterms:W3CDTF">2021-04-08T15:41:00Z</dcterms:created>
  <dcterms:modified xsi:type="dcterms:W3CDTF">2021-04-08T15:41:00Z</dcterms:modified>
</cp:coreProperties>
</file>